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D6F" w:rsidRDefault="00DB1959" w:rsidP="00EF7D6F">
      <w:pPr>
        <w:spacing w:after="0" w:line="240" w:lineRule="auto"/>
        <w:textAlignment w:val="baseline"/>
        <w:outlineLvl w:val="0"/>
        <w:rPr>
          <w:rFonts w:ascii="Arial" w:eastAsia="Times New Roman" w:hAnsi="Arial" w:cs="Arial"/>
          <w:b/>
          <w:color w:val="111111"/>
          <w:kern w:val="36"/>
          <w:sz w:val="48"/>
          <w:szCs w:val="73"/>
          <w:lang w:eastAsia="sl-SI"/>
        </w:rPr>
      </w:pPr>
      <w:r w:rsidRPr="00DB1959">
        <w:rPr>
          <w:rFonts w:ascii="Arial" w:eastAsia="Times New Roman" w:hAnsi="Arial" w:cs="Arial"/>
          <w:b/>
          <w:color w:val="111111"/>
          <w:kern w:val="36"/>
          <w:sz w:val="48"/>
          <w:szCs w:val="73"/>
          <w:lang w:eastAsia="sl-SI"/>
        </w:rPr>
        <w:t>31. marca se začenja letošnja kampanja oddaje zbirnih vlog</w:t>
      </w:r>
    </w:p>
    <w:p w:rsidR="00EF7D6F" w:rsidRPr="00DB1959" w:rsidRDefault="00EF7D6F" w:rsidP="00EF7D6F">
      <w:pPr>
        <w:spacing w:after="0" w:line="240" w:lineRule="auto"/>
        <w:textAlignment w:val="baseline"/>
        <w:outlineLvl w:val="0"/>
        <w:rPr>
          <w:rFonts w:ascii="Arial" w:eastAsia="Times New Roman" w:hAnsi="Arial" w:cs="Arial"/>
          <w:b/>
          <w:color w:val="111111"/>
          <w:kern w:val="36"/>
          <w:sz w:val="48"/>
          <w:szCs w:val="73"/>
          <w:lang w:eastAsia="sl-SI"/>
        </w:rPr>
      </w:pPr>
    </w:p>
    <w:p w:rsidR="00DB1959" w:rsidRPr="00DB1959" w:rsidRDefault="00DB1959" w:rsidP="00DB1959">
      <w:pPr>
        <w:spacing w:line="240" w:lineRule="auto"/>
        <w:textAlignment w:val="baseline"/>
        <w:rPr>
          <w:rFonts w:ascii="Arial" w:eastAsia="Times New Roman" w:hAnsi="Arial" w:cs="Arial"/>
          <w:color w:val="111111"/>
          <w:sz w:val="32"/>
          <w:szCs w:val="32"/>
          <w:lang w:eastAsia="sl-SI"/>
        </w:rPr>
      </w:pPr>
      <w:r w:rsidRPr="00DB1959">
        <w:rPr>
          <w:rFonts w:ascii="Arial" w:eastAsia="Times New Roman" w:hAnsi="Arial" w:cs="Arial"/>
          <w:color w:val="111111"/>
          <w:sz w:val="32"/>
          <w:szCs w:val="32"/>
          <w:lang w:eastAsia="sl-SI"/>
        </w:rPr>
        <w:t>V petek, 31. marca 2023, se začenja letošnja kampanja izpolnjevanja in oddaje zbirnih vlog, ki pa se bo od lanske precej razlikovala, saj bo sledila številnim novostim iz novega strateškega načrta skupne kmetijske politike 2023-2027.</w:t>
      </w:r>
    </w:p>
    <w:p w:rsidR="00DB1959" w:rsidRDefault="00DB1959" w:rsidP="00DB1959">
      <w:pPr>
        <w:spacing w:after="0" w:line="240" w:lineRule="auto"/>
        <w:textAlignment w:val="baseline"/>
        <w:rPr>
          <w:rFonts w:ascii="Arial" w:eastAsia="Times New Roman" w:hAnsi="Arial" w:cs="Arial"/>
          <w:color w:val="111111"/>
          <w:sz w:val="26"/>
          <w:szCs w:val="26"/>
          <w:lang w:eastAsia="sl-SI"/>
        </w:rPr>
      </w:pPr>
      <w:r w:rsidRPr="00DB1959">
        <w:rPr>
          <w:rFonts w:ascii="Arial" w:eastAsia="Times New Roman" w:hAnsi="Arial" w:cs="Arial"/>
          <w:color w:val="111111"/>
          <w:sz w:val="26"/>
          <w:szCs w:val="26"/>
          <w:lang w:eastAsia="sl-SI"/>
        </w:rPr>
        <w:t>Novosti sta predstavila generalni direktor Agencije RS za kmetijske trge in razvoj podeželja (AKTRP) mag. Miran Mihelič in generalna direktorica Direktorata za kmetijstvo Maša Žagar.</w:t>
      </w:r>
    </w:p>
    <w:p w:rsidR="00DB1959" w:rsidRPr="00DB1959" w:rsidRDefault="00DB1959" w:rsidP="00DB1959">
      <w:pPr>
        <w:spacing w:after="0" w:line="240" w:lineRule="auto"/>
        <w:textAlignment w:val="baseline"/>
        <w:rPr>
          <w:rFonts w:ascii="Arial" w:eastAsia="Times New Roman" w:hAnsi="Arial" w:cs="Arial"/>
          <w:color w:val="111111"/>
          <w:sz w:val="26"/>
          <w:szCs w:val="26"/>
          <w:lang w:eastAsia="sl-SI"/>
        </w:rPr>
      </w:pPr>
    </w:p>
    <w:p w:rsidR="00DB1959" w:rsidRPr="00DB1959" w:rsidRDefault="00DB1959" w:rsidP="00DB1959">
      <w:pPr>
        <w:spacing w:after="0" w:line="240" w:lineRule="auto"/>
        <w:textAlignment w:val="baseline"/>
        <w:rPr>
          <w:rFonts w:ascii="Arial" w:eastAsia="Times New Roman" w:hAnsi="Arial" w:cs="Arial"/>
          <w:color w:val="111111"/>
          <w:sz w:val="26"/>
          <w:szCs w:val="26"/>
          <w:lang w:eastAsia="sl-SI"/>
        </w:rPr>
      </w:pPr>
      <w:r w:rsidRPr="00DB1959">
        <w:rPr>
          <w:rFonts w:ascii="Arial" w:eastAsia="Times New Roman" w:hAnsi="Arial" w:cs="Arial"/>
          <w:noProof/>
          <w:color w:val="397289"/>
          <w:sz w:val="26"/>
          <w:szCs w:val="26"/>
          <w:lang w:eastAsia="sl-SI"/>
        </w:rPr>
        <w:drawing>
          <wp:inline distT="0" distB="0" distL="0" distR="0">
            <wp:extent cx="5779629" cy="3855422"/>
            <wp:effectExtent l="0" t="0" r="0" b="0"/>
            <wp:docPr id="1" name="Slika 1" descr="Generalni direktor AKTRP mag. Miran Mihelič in generalna direktorica Direktorata za kmetijstvo Maša Žaga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alni direktor AKTRP mag. Miran Mihelič in generalna direktorica Direktorata za kmetijstvo Maša Žagar">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34283" cy="3891880"/>
                    </a:xfrm>
                    <a:prstGeom prst="rect">
                      <a:avLst/>
                    </a:prstGeom>
                    <a:noFill/>
                    <a:ln>
                      <a:noFill/>
                    </a:ln>
                  </pic:spPr>
                </pic:pic>
              </a:graphicData>
            </a:graphic>
          </wp:inline>
        </w:drawing>
      </w:r>
    </w:p>
    <w:p w:rsidR="00DB1959" w:rsidRPr="00DB1959" w:rsidRDefault="00DB1959" w:rsidP="00DB1959">
      <w:pPr>
        <w:spacing w:line="240" w:lineRule="auto"/>
        <w:textAlignment w:val="baseline"/>
        <w:rPr>
          <w:rFonts w:ascii="Arial" w:eastAsia="Times New Roman" w:hAnsi="Arial" w:cs="Arial"/>
          <w:color w:val="111111"/>
          <w:sz w:val="20"/>
          <w:szCs w:val="20"/>
          <w:lang w:eastAsia="sl-SI"/>
        </w:rPr>
      </w:pPr>
      <w:r w:rsidRPr="00DB1959">
        <w:rPr>
          <w:rFonts w:ascii="Arial" w:eastAsia="Times New Roman" w:hAnsi="Arial" w:cs="Arial"/>
          <w:color w:val="111111"/>
          <w:sz w:val="20"/>
          <w:szCs w:val="20"/>
          <w:lang w:eastAsia="sl-SI"/>
        </w:rPr>
        <w:t>Generalni direktor AKTRP mag. Miran Mihelič in generalna direktorica Direktorata za kmetijstvo Maša Žagar | </w:t>
      </w:r>
      <w:r w:rsidRPr="00DB1959">
        <w:rPr>
          <w:rFonts w:ascii="Arial" w:eastAsia="Times New Roman" w:hAnsi="Arial" w:cs="Arial"/>
          <w:color w:val="65656A"/>
          <w:sz w:val="18"/>
          <w:szCs w:val="18"/>
          <w:bdr w:val="none" w:sz="0" w:space="0" w:color="auto" w:frame="1"/>
          <w:lang w:eastAsia="sl-SI"/>
        </w:rPr>
        <w:t>Avtor Ministrstvo za kmetijstvo, gozdarstvo in prehrano</w:t>
      </w:r>
    </w:p>
    <w:p w:rsidR="00DB1959" w:rsidRDefault="00DB1959" w:rsidP="00DB1959">
      <w:pPr>
        <w:spacing w:after="0" w:line="240" w:lineRule="auto"/>
        <w:textAlignment w:val="baseline"/>
        <w:outlineLvl w:val="1"/>
        <w:rPr>
          <w:rFonts w:ascii="Arial" w:eastAsia="Times New Roman" w:hAnsi="Arial" w:cs="Arial"/>
          <w:b/>
          <w:bCs/>
          <w:color w:val="111111"/>
          <w:sz w:val="42"/>
          <w:szCs w:val="42"/>
          <w:bdr w:val="none" w:sz="0" w:space="0" w:color="auto" w:frame="1"/>
          <w:lang w:eastAsia="sl-SI"/>
        </w:rPr>
      </w:pPr>
      <w:r w:rsidRPr="00DB1959">
        <w:rPr>
          <w:rFonts w:ascii="Arial" w:eastAsia="Times New Roman" w:hAnsi="Arial" w:cs="Arial"/>
          <w:b/>
          <w:bCs/>
          <w:color w:val="111111"/>
          <w:sz w:val="42"/>
          <w:szCs w:val="42"/>
          <w:bdr w:val="none" w:sz="0" w:space="0" w:color="auto" w:frame="1"/>
          <w:lang w:eastAsia="sl-SI"/>
        </w:rPr>
        <w:t>Posebnosti letošnje kampanje izpolnjevanja zbirnih vlog</w:t>
      </w:r>
    </w:p>
    <w:p w:rsidR="00DC2FBF" w:rsidRPr="00DB1959" w:rsidRDefault="00DC2FBF" w:rsidP="00DB1959">
      <w:pPr>
        <w:spacing w:after="0" w:line="240" w:lineRule="auto"/>
        <w:textAlignment w:val="baseline"/>
        <w:outlineLvl w:val="1"/>
        <w:rPr>
          <w:rFonts w:ascii="Arial" w:eastAsia="Times New Roman" w:hAnsi="Arial" w:cs="Arial"/>
          <w:b/>
          <w:bCs/>
          <w:color w:val="111111"/>
          <w:sz w:val="43"/>
          <w:szCs w:val="43"/>
          <w:lang w:eastAsia="sl-SI"/>
        </w:rPr>
      </w:pPr>
    </w:p>
    <w:p w:rsidR="00DB1959" w:rsidRPr="00DB1959" w:rsidRDefault="00DB1959" w:rsidP="00DB1959">
      <w:pPr>
        <w:spacing w:after="360" w:line="240" w:lineRule="auto"/>
        <w:textAlignment w:val="baseline"/>
        <w:rPr>
          <w:rFonts w:ascii="Arial" w:eastAsia="Times New Roman" w:hAnsi="Arial" w:cs="Arial"/>
          <w:color w:val="111111"/>
          <w:sz w:val="26"/>
          <w:szCs w:val="26"/>
          <w:lang w:eastAsia="sl-SI"/>
        </w:rPr>
      </w:pPr>
      <w:r w:rsidRPr="00DB1959">
        <w:rPr>
          <w:rFonts w:ascii="Arial" w:eastAsia="Times New Roman" w:hAnsi="Arial" w:cs="Arial"/>
          <w:color w:val="111111"/>
          <w:sz w:val="26"/>
          <w:szCs w:val="26"/>
          <w:lang w:eastAsia="sl-SI"/>
        </w:rPr>
        <w:t xml:space="preserve">Mag. Mihelič je napovedal kampanjo izpolnjevanja zbirnih vlog za leto 2023, ki se začenja v petek, 31. marca, trajala pa bo do 10. julija. Čas za oddajo je tako daljši kot v preteklih letih. Izpostavil je določene informacije, pomembe za upravičence ob oddaji zbirne vloge, in sicer: da je vnos zbirne vloge pri </w:t>
      </w:r>
      <w:r w:rsidRPr="00DB1959">
        <w:rPr>
          <w:rFonts w:ascii="Arial" w:eastAsia="Times New Roman" w:hAnsi="Arial" w:cs="Arial"/>
          <w:color w:val="111111"/>
          <w:sz w:val="26"/>
          <w:szCs w:val="26"/>
          <w:lang w:eastAsia="sl-SI"/>
        </w:rPr>
        <w:lastRenderedPageBreak/>
        <w:t xml:space="preserve">upravičencih, ki bodo uveljavljali zahtevek za </w:t>
      </w:r>
      <w:proofErr w:type="spellStart"/>
      <w:r w:rsidRPr="00DB1959">
        <w:rPr>
          <w:rFonts w:ascii="Arial" w:eastAsia="Times New Roman" w:hAnsi="Arial" w:cs="Arial"/>
          <w:color w:val="111111"/>
          <w:sz w:val="26"/>
          <w:szCs w:val="26"/>
          <w:lang w:eastAsia="sl-SI"/>
        </w:rPr>
        <w:t>podintervencijo</w:t>
      </w:r>
      <w:proofErr w:type="spellEnd"/>
      <w:r w:rsidRPr="00DB1959">
        <w:rPr>
          <w:rFonts w:ascii="Arial" w:eastAsia="Times New Roman" w:hAnsi="Arial" w:cs="Arial"/>
          <w:color w:val="111111"/>
          <w:sz w:val="26"/>
          <w:szCs w:val="26"/>
          <w:lang w:eastAsia="sl-SI"/>
        </w:rPr>
        <w:t xml:space="preserve"> dobrobit živali drobnica, potreben najpozneje do 5. maja, saj vložitev po tem datumu več ne omogoča izpolnjevanja pogojev, zahtevek za shemo varstvo gnezd ptice pribe lahko upravičenec vloži po obvestilu o najdenem gnezdu in svetovanju Kmetijske svetovalne službe ter, da se zahtevki za pašo goveda, drobnice oziroma konjev (DŽ) lahko vložijo, če so podatki o izvedenih </w:t>
      </w:r>
      <w:proofErr w:type="spellStart"/>
      <w:r w:rsidRPr="00DB1959">
        <w:rPr>
          <w:rFonts w:ascii="Arial" w:eastAsia="Times New Roman" w:hAnsi="Arial" w:cs="Arial"/>
          <w:color w:val="111111"/>
          <w:sz w:val="26"/>
          <w:szCs w:val="26"/>
          <w:lang w:eastAsia="sl-SI"/>
        </w:rPr>
        <w:t>koproloških</w:t>
      </w:r>
      <w:proofErr w:type="spellEnd"/>
      <w:r w:rsidRPr="00DB1959">
        <w:rPr>
          <w:rFonts w:ascii="Arial" w:eastAsia="Times New Roman" w:hAnsi="Arial" w:cs="Arial"/>
          <w:color w:val="111111"/>
          <w:sz w:val="26"/>
          <w:szCs w:val="26"/>
          <w:lang w:eastAsia="sl-SI"/>
        </w:rPr>
        <w:t xml:space="preserve"> analizah vpisani na seznam </w:t>
      </w:r>
      <w:proofErr w:type="spellStart"/>
      <w:r w:rsidRPr="00DB1959">
        <w:rPr>
          <w:rFonts w:ascii="Arial" w:eastAsia="Times New Roman" w:hAnsi="Arial" w:cs="Arial"/>
          <w:color w:val="111111"/>
          <w:sz w:val="26"/>
          <w:szCs w:val="26"/>
          <w:lang w:eastAsia="sl-SI"/>
        </w:rPr>
        <w:t>koproloških</w:t>
      </w:r>
      <w:proofErr w:type="spellEnd"/>
      <w:r w:rsidRPr="00DB1959">
        <w:rPr>
          <w:rFonts w:ascii="Arial" w:eastAsia="Times New Roman" w:hAnsi="Arial" w:cs="Arial"/>
          <w:color w:val="111111"/>
          <w:sz w:val="26"/>
          <w:szCs w:val="26"/>
          <w:lang w:eastAsia="sl-SI"/>
        </w:rPr>
        <w:t xml:space="preserve"> analiz.</w:t>
      </w:r>
    </w:p>
    <w:p w:rsidR="00DB1959" w:rsidRPr="00DB1959" w:rsidRDefault="00DB1959" w:rsidP="00DB1959">
      <w:pPr>
        <w:spacing w:after="360" w:line="240" w:lineRule="auto"/>
        <w:textAlignment w:val="baseline"/>
        <w:rPr>
          <w:rFonts w:ascii="Arial" w:eastAsia="Times New Roman" w:hAnsi="Arial" w:cs="Arial"/>
          <w:color w:val="111111"/>
          <w:sz w:val="26"/>
          <w:szCs w:val="26"/>
          <w:lang w:eastAsia="sl-SI"/>
        </w:rPr>
      </w:pPr>
      <w:r w:rsidRPr="00DB1959">
        <w:rPr>
          <w:rFonts w:ascii="Arial" w:eastAsia="Times New Roman" w:hAnsi="Arial" w:cs="Arial"/>
          <w:color w:val="111111"/>
          <w:sz w:val="26"/>
          <w:szCs w:val="26"/>
          <w:lang w:eastAsia="sl-SI"/>
        </w:rPr>
        <w:t>Stanje v vseh registrih mora biti urejeno pred začetkom izpolnjevanja zbirne vloge, pozval pa je tudi k čimprejšnjemu pregledu in ureditvi GERK-ov na upravni enoti.</w:t>
      </w:r>
    </w:p>
    <w:p w:rsidR="00DB1959" w:rsidRPr="00DB1959" w:rsidRDefault="00DB1959" w:rsidP="00DB1959">
      <w:pPr>
        <w:spacing w:after="360" w:line="240" w:lineRule="auto"/>
        <w:textAlignment w:val="baseline"/>
        <w:rPr>
          <w:rFonts w:ascii="Arial" w:eastAsia="Times New Roman" w:hAnsi="Arial" w:cs="Arial"/>
          <w:color w:val="111111"/>
          <w:sz w:val="26"/>
          <w:szCs w:val="26"/>
          <w:lang w:eastAsia="sl-SI"/>
        </w:rPr>
      </w:pPr>
      <w:r w:rsidRPr="00DB1959">
        <w:rPr>
          <w:rFonts w:ascii="Arial" w:eastAsia="Times New Roman" w:hAnsi="Arial" w:cs="Arial"/>
          <w:color w:val="111111"/>
          <w:sz w:val="26"/>
          <w:szCs w:val="26"/>
          <w:lang w:eastAsia="sl-SI"/>
        </w:rPr>
        <w:t>V pomoč pri izpolnjevanju zbirne vloge sta AKTRP in ministrstvo pripravila </w:t>
      </w:r>
      <w:hyperlink r:id="rId7" w:history="1">
        <w:r w:rsidRPr="00DB1959">
          <w:rPr>
            <w:rFonts w:ascii="Arial" w:eastAsia="Times New Roman" w:hAnsi="Arial" w:cs="Arial"/>
            <w:color w:val="397289"/>
            <w:sz w:val="26"/>
            <w:szCs w:val="26"/>
            <w:u w:val="single"/>
            <w:lang w:eastAsia="sl-SI"/>
          </w:rPr>
          <w:t>Navodila za uveljavljanje intervencij iz SN SKP 2023–2030</w:t>
        </w:r>
      </w:hyperlink>
      <w:r w:rsidRPr="00DB1959">
        <w:rPr>
          <w:rFonts w:ascii="Arial" w:eastAsia="Times New Roman" w:hAnsi="Arial" w:cs="Arial"/>
          <w:color w:val="111111"/>
          <w:sz w:val="26"/>
          <w:szCs w:val="26"/>
          <w:lang w:eastAsia="sl-SI"/>
        </w:rPr>
        <w:t>. Vlagatelji se za dodatne informacije lahko obrnejo na klicni center AKTRP, stanje obravnave vlog pa lahko preverijo v </w:t>
      </w:r>
      <w:hyperlink r:id="rId8" w:history="1">
        <w:r w:rsidRPr="00DB1959">
          <w:rPr>
            <w:rFonts w:ascii="Arial" w:eastAsia="Times New Roman" w:hAnsi="Arial" w:cs="Arial"/>
            <w:color w:val="397289"/>
            <w:sz w:val="26"/>
            <w:szCs w:val="26"/>
            <w:u w:val="single"/>
            <w:lang w:eastAsia="sl-SI"/>
          </w:rPr>
          <w:t>spletnem pregledovalniku</w:t>
        </w:r>
      </w:hyperlink>
      <w:r w:rsidRPr="00DB1959">
        <w:rPr>
          <w:rFonts w:ascii="Arial" w:eastAsia="Times New Roman" w:hAnsi="Arial" w:cs="Arial"/>
          <w:color w:val="111111"/>
          <w:sz w:val="26"/>
          <w:szCs w:val="26"/>
          <w:lang w:eastAsia="sl-SI"/>
        </w:rPr>
        <w:t>.</w:t>
      </w:r>
    </w:p>
    <w:p w:rsidR="00DB1959" w:rsidRDefault="00DB1959" w:rsidP="00DB1959">
      <w:pPr>
        <w:spacing w:after="0" w:line="240" w:lineRule="auto"/>
        <w:textAlignment w:val="baseline"/>
        <w:outlineLvl w:val="1"/>
        <w:rPr>
          <w:rFonts w:ascii="Arial" w:eastAsia="Times New Roman" w:hAnsi="Arial" w:cs="Arial"/>
          <w:b/>
          <w:bCs/>
          <w:color w:val="111111"/>
          <w:sz w:val="42"/>
          <w:szCs w:val="42"/>
          <w:bdr w:val="none" w:sz="0" w:space="0" w:color="auto" w:frame="1"/>
          <w:lang w:eastAsia="sl-SI"/>
        </w:rPr>
      </w:pPr>
      <w:r w:rsidRPr="00DB1959">
        <w:rPr>
          <w:rFonts w:ascii="Arial" w:eastAsia="Times New Roman" w:hAnsi="Arial" w:cs="Arial"/>
          <w:b/>
          <w:bCs/>
          <w:color w:val="111111"/>
          <w:sz w:val="42"/>
          <w:szCs w:val="42"/>
          <w:bdr w:val="none" w:sz="0" w:space="0" w:color="auto" w:frame="1"/>
          <w:lang w:eastAsia="sl-SI"/>
        </w:rPr>
        <w:t>Novosti iz novega strateškega načrta skupne kmetijske politike 2023-2027</w:t>
      </w:r>
    </w:p>
    <w:p w:rsidR="00DC2FBF" w:rsidRDefault="00DC2FBF" w:rsidP="00DB1959">
      <w:pPr>
        <w:spacing w:after="0" w:line="240" w:lineRule="auto"/>
        <w:textAlignment w:val="baseline"/>
        <w:outlineLvl w:val="1"/>
        <w:rPr>
          <w:rFonts w:ascii="Arial" w:eastAsia="Times New Roman" w:hAnsi="Arial" w:cs="Arial"/>
          <w:b/>
          <w:bCs/>
          <w:color w:val="111111"/>
          <w:sz w:val="42"/>
          <w:szCs w:val="42"/>
          <w:bdr w:val="none" w:sz="0" w:space="0" w:color="auto" w:frame="1"/>
          <w:lang w:eastAsia="sl-SI"/>
        </w:rPr>
      </w:pPr>
    </w:p>
    <w:p w:rsidR="00DB1959" w:rsidRPr="00DB1959" w:rsidRDefault="00DB1959" w:rsidP="00DB1959">
      <w:pPr>
        <w:spacing w:after="360" w:line="240" w:lineRule="auto"/>
        <w:textAlignment w:val="baseline"/>
        <w:rPr>
          <w:rFonts w:ascii="Arial" w:eastAsia="Times New Roman" w:hAnsi="Arial" w:cs="Arial"/>
          <w:color w:val="111111"/>
          <w:sz w:val="26"/>
          <w:szCs w:val="26"/>
          <w:lang w:eastAsia="sl-SI"/>
        </w:rPr>
      </w:pPr>
      <w:r w:rsidRPr="00DB1959">
        <w:rPr>
          <w:rFonts w:ascii="Arial" w:eastAsia="Times New Roman" w:hAnsi="Arial" w:cs="Arial"/>
          <w:color w:val="111111"/>
          <w:sz w:val="26"/>
          <w:szCs w:val="26"/>
          <w:lang w:eastAsia="sl-SI"/>
        </w:rPr>
        <w:t>Po besedah generalne direktorice Direktorata za kmetijstvo Maše Žagar  bodo ukrepi prispevali k doseganju ciljev skupne kmetijske politike. Ključni cilji na ravni EU in Slovenije so dohodkovni, zadevajo pa tudi konkurenčnost, varovanje okolja in podnebja ter dobrobit živali. Krovna usmeritev slovenskega strateškega načrta je zagotavljati trajnostno pridelavo hrane na celotnem območju države. Sredstva so tako prednostno namenjena lažjemu prehodu na trajnostni način kmetovanja ter krepitvi kmetijskega sektorja.</w:t>
      </w:r>
    </w:p>
    <w:p w:rsidR="00DB1959" w:rsidRPr="00DB1959" w:rsidRDefault="00DB1959" w:rsidP="00DB1959">
      <w:pPr>
        <w:spacing w:after="360" w:line="240" w:lineRule="auto"/>
        <w:textAlignment w:val="baseline"/>
        <w:rPr>
          <w:rFonts w:ascii="Arial" w:eastAsia="Times New Roman" w:hAnsi="Arial" w:cs="Arial"/>
          <w:color w:val="111111"/>
          <w:sz w:val="26"/>
          <w:szCs w:val="26"/>
          <w:lang w:eastAsia="sl-SI"/>
        </w:rPr>
      </w:pPr>
      <w:r w:rsidRPr="00DB1959">
        <w:rPr>
          <w:rFonts w:ascii="Arial" w:eastAsia="Times New Roman" w:hAnsi="Arial" w:cs="Arial"/>
          <w:color w:val="111111"/>
          <w:sz w:val="26"/>
          <w:szCs w:val="26"/>
          <w:lang w:eastAsia="sl-SI"/>
        </w:rPr>
        <w:t xml:space="preserve">Osnova za uresničevanje teh ciljev so neposredna plačila, pri čemer se posebno pozornost namenja območjem z omejenimi možnostmi (OMD) in sektorjem v težavah. Novost obdobja strateškega načrta skupne kmetijske politike (SN SKP) je odprava plačilnih pravic in nova dohodkovna </w:t>
      </w:r>
      <w:proofErr w:type="spellStart"/>
      <w:r w:rsidRPr="00DB1959">
        <w:rPr>
          <w:rFonts w:ascii="Arial" w:eastAsia="Times New Roman" w:hAnsi="Arial" w:cs="Arial"/>
          <w:color w:val="111111"/>
          <w:sz w:val="26"/>
          <w:szCs w:val="26"/>
          <w:lang w:eastAsia="sl-SI"/>
        </w:rPr>
        <w:t>prerazporeditvena</w:t>
      </w:r>
      <w:proofErr w:type="spellEnd"/>
      <w:r w:rsidRPr="00DB1959">
        <w:rPr>
          <w:rFonts w:ascii="Arial" w:eastAsia="Times New Roman" w:hAnsi="Arial" w:cs="Arial"/>
          <w:color w:val="111111"/>
          <w:sz w:val="26"/>
          <w:szCs w:val="26"/>
          <w:lang w:eastAsia="sl-SI"/>
        </w:rPr>
        <w:t xml:space="preserve"> podpora, s čimer so bili narejeni koraki k bolj pravični razdelitvi neposrednih plačil. »Generacijsko prenovo bomo tudi v prihodnje zasledovali v okviru neposrednih plačil z dopolnilno dohodkovno podporo za mlade kmete,« je izpostavila generalna direktorica.</w:t>
      </w:r>
    </w:p>
    <w:p w:rsidR="00DB1959" w:rsidRPr="00DB1959" w:rsidRDefault="00DB1959" w:rsidP="00DB1959">
      <w:pPr>
        <w:spacing w:after="360" w:line="240" w:lineRule="auto"/>
        <w:textAlignment w:val="baseline"/>
        <w:rPr>
          <w:rFonts w:ascii="Arial" w:eastAsia="Times New Roman" w:hAnsi="Arial" w:cs="Arial"/>
          <w:color w:val="111111"/>
          <w:sz w:val="26"/>
          <w:szCs w:val="26"/>
          <w:lang w:eastAsia="sl-SI"/>
        </w:rPr>
      </w:pPr>
      <w:r w:rsidRPr="00DB1959">
        <w:rPr>
          <w:rFonts w:ascii="Arial" w:eastAsia="Times New Roman" w:hAnsi="Arial" w:cs="Arial"/>
          <w:color w:val="111111"/>
          <w:sz w:val="26"/>
          <w:szCs w:val="26"/>
          <w:lang w:eastAsia="sl-SI"/>
        </w:rPr>
        <w:t>Novost na področju varovanja naravnih virov in blaženja podnebnih sprememb so osnovna obvezna pravila pogojenosti, ki so postala strožja od dosedanje navzkrižne skladnosti, poleg tega pa se uvajajo tudi enoletne sheme za podnebje in okolje. Gre za širše dostopne sheme, ki obsegajo kar 16 % deleža neposrednih plačil. Te ukrepe nadgrajujejo kmetijsko-</w:t>
      </w:r>
      <w:proofErr w:type="spellStart"/>
      <w:r w:rsidRPr="00DB1959">
        <w:rPr>
          <w:rFonts w:ascii="Arial" w:eastAsia="Times New Roman" w:hAnsi="Arial" w:cs="Arial"/>
          <w:color w:val="111111"/>
          <w:sz w:val="26"/>
          <w:szCs w:val="26"/>
          <w:lang w:eastAsia="sl-SI"/>
        </w:rPr>
        <w:t>okoljsko</w:t>
      </w:r>
      <w:proofErr w:type="spellEnd"/>
      <w:r w:rsidRPr="00DB1959">
        <w:rPr>
          <w:rFonts w:ascii="Arial" w:eastAsia="Times New Roman" w:hAnsi="Arial" w:cs="Arial"/>
          <w:color w:val="111111"/>
          <w:sz w:val="26"/>
          <w:szCs w:val="26"/>
          <w:lang w:eastAsia="sl-SI"/>
        </w:rPr>
        <w:t xml:space="preserve">-podnebna </w:t>
      </w:r>
      <w:r w:rsidRPr="00DB1959">
        <w:rPr>
          <w:rFonts w:ascii="Arial" w:eastAsia="Times New Roman" w:hAnsi="Arial" w:cs="Arial"/>
          <w:color w:val="111111"/>
          <w:sz w:val="26"/>
          <w:szCs w:val="26"/>
          <w:lang w:eastAsia="sl-SI"/>
        </w:rPr>
        <w:lastRenderedPageBreak/>
        <w:t>plačila (KOKOP) in drugi ukrepi v okviru Programa razvoja podeželja, npr. ekološko kmetovanje.</w:t>
      </w:r>
    </w:p>
    <w:p w:rsidR="00DB1959" w:rsidRPr="00DB1959" w:rsidRDefault="00DB1959" w:rsidP="00DB1959">
      <w:pPr>
        <w:spacing w:after="360" w:line="240" w:lineRule="auto"/>
        <w:textAlignment w:val="baseline"/>
        <w:rPr>
          <w:rFonts w:ascii="Arial" w:eastAsia="Times New Roman" w:hAnsi="Arial" w:cs="Arial"/>
          <w:color w:val="111111"/>
          <w:sz w:val="26"/>
          <w:szCs w:val="26"/>
          <w:lang w:eastAsia="sl-SI"/>
        </w:rPr>
      </w:pPr>
      <w:r w:rsidRPr="00DB1959">
        <w:rPr>
          <w:rFonts w:ascii="Arial" w:eastAsia="Times New Roman" w:hAnsi="Arial" w:cs="Arial"/>
          <w:color w:val="111111"/>
          <w:sz w:val="26"/>
          <w:szCs w:val="26"/>
          <w:lang w:eastAsia="sl-SI"/>
        </w:rPr>
        <w:t>Med pomembnejšimi ukrepi je izpostavila še nova plačila za območja Natura 2000, ukrepe za učinkovitejšo rabo fitofarmacevtskih sredstev (FFS), optimiziranje emisij toplogrednih plinov. Posebno pomembno področje so ukrepi za dobrobit živali.</w:t>
      </w:r>
    </w:p>
    <w:p w:rsidR="00DB1959" w:rsidRPr="00DB1959" w:rsidRDefault="00DB1959" w:rsidP="00DB1959">
      <w:pPr>
        <w:spacing w:after="360" w:line="240" w:lineRule="auto"/>
        <w:textAlignment w:val="baseline"/>
        <w:rPr>
          <w:rFonts w:ascii="Arial" w:eastAsia="Times New Roman" w:hAnsi="Arial" w:cs="Arial"/>
          <w:color w:val="111111"/>
          <w:sz w:val="26"/>
          <w:szCs w:val="26"/>
          <w:lang w:eastAsia="sl-SI"/>
        </w:rPr>
      </w:pPr>
      <w:r w:rsidRPr="00DB1959">
        <w:rPr>
          <w:rFonts w:ascii="Arial" w:eastAsia="Times New Roman" w:hAnsi="Arial" w:cs="Arial"/>
          <w:color w:val="111111"/>
          <w:sz w:val="26"/>
          <w:szCs w:val="26"/>
          <w:lang w:eastAsia="sl-SI"/>
        </w:rPr>
        <w:t>Skupni obseg sredstev za leto 2023 znaša približno 236 milijonov evrov, od tega je za neposredne podpore namenjenih dobrih 131 milijonov evrov. »Če se bodo pri izvajanju ukrepov pokazale potrebe po spremembah, se lahko država na to odzove tudi s prilagoditvijo strateškega načrta, zato, da lahko zagotavlja učinkovito doseganje zastavljenih ciljev in namena skupne kmetijske politike,« je za konec izpostavila generalna direktorica Maša Žagar.</w:t>
      </w:r>
    </w:p>
    <w:p w:rsidR="00DB1959" w:rsidRDefault="00DB1959" w:rsidP="00DB1959">
      <w:pPr>
        <w:spacing w:after="0" w:line="240" w:lineRule="auto"/>
        <w:textAlignment w:val="baseline"/>
        <w:outlineLvl w:val="1"/>
        <w:rPr>
          <w:rFonts w:ascii="Arial" w:eastAsia="Times New Roman" w:hAnsi="Arial" w:cs="Arial"/>
          <w:b/>
          <w:bCs/>
          <w:color w:val="111111"/>
          <w:sz w:val="42"/>
          <w:szCs w:val="42"/>
          <w:bdr w:val="none" w:sz="0" w:space="0" w:color="auto" w:frame="1"/>
          <w:lang w:eastAsia="sl-SI"/>
        </w:rPr>
      </w:pPr>
      <w:r w:rsidRPr="00DB1959">
        <w:rPr>
          <w:rFonts w:ascii="Arial" w:eastAsia="Times New Roman" w:hAnsi="Arial" w:cs="Arial"/>
          <w:b/>
          <w:bCs/>
          <w:color w:val="111111"/>
          <w:sz w:val="42"/>
          <w:szCs w:val="42"/>
          <w:bdr w:val="none" w:sz="0" w:space="0" w:color="auto" w:frame="1"/>
          <w:lang w:eastAsia="sl-SI"/>
        </w:rPr>
        <w:t>Posodobitve v sistemih AKTRP</w:t>
      </w:r>
    </w:p>
    <w:p w:rsidR="00DC2FBF" w:rsidRPr="00DB1959" w:rsidRDefault="00DC2FBF" w:rsidP="00DB1959">
      <w:pPr>
        <w:spacing w:after="0" w:line="240" w:lineRule="auto"/>
        <w:textAlignment w:val="baseline"/>
        <w:outlineLvl w:val="1"/>
        <w:rPr>
          <w:rFonts w:ascii="Arial" w:eastAsia="Times New Roman" w:hAnsi="Arial" w:cs="Arial"/>
          <w:b/>
          <w:bCs/>
          <w:color w:val="111111"/>
          <w:sz w:val="43"/>
          <w:szCs w:val="43"/>
          <w:lang w:eastAsia="sl-SI"/>
        </w:rPr>
      </w:pPr>
    </w:p>
    <w:p w:rsidR="00DB1959" w:rsidRPr="00DB1959" w:rsidRDefault="00DB1959" w:rsidP="00DB1959">
      <w:pPr>
        <w:spacing w:after="360" w:line="240" w:lineRule="auto"/>
        <w:textAlignment w:val="baseline"/>
        <w:rPr>
          <w:rFonts w:ascii="Arial" w:eastAsia="Times New Roman" w:hAnsi="Arial" w:cs="Arial"/>
          <w:color w:val="111111"/>
          <w:sz w:val="26"/>
          <w:szCs w:val="26"/>
          <w:lang w:eastAsia="sl-SI"/>
        </w:rPr>
      </w:pPr>
      <w:r w:rsidRPr="00DB1959">
        <w:rPr>
          <w:rFonts w:ascii="Arial" w:eastAsia="Times New Roman" w:hAnsi="Arial" w:cs="Arial"/>
          <w:color w:val="111111"/>
          <w:sz w:val="26"/>
          <w:szCs w:val="26"/>
          <w:lang w:eastAsia="sl-SI"/>
        </w:rPr>
        <w:t>Mag. Mihelič je predstavil tudi posodobitve v sistemih AKTRP za postopke oddaje vlog in zahtevkov, za hitrejšo obravnavo vlog in boljšo obveščenosti vlagateljev. Posebej je izpostavil uporabo </w:t>
      </w:r>
      <w:hyperlink r:id="rId9" w:history="1">
        <w:r w:rsidRPr="00DB1959">
          <w:rPr>
            <w:rFonts w:ascii="Arial" w:eastAsia="Times New Roman" w:hAnsi="Arial" w:cs="Arial"/>
            <w:color w:val="397289"/>
            <w:sz w:val="26"/>
            <w:szCs w:val="26"/>
            <w:u w:val="single"/>
            <w:lang w:eastAsia="sl-SI"/>
          </w:rPr>
          <w:t>aplikacije SOPOTNIK</w:t>
        </w:r>
      </w:hyperlink>
      <w:r w:rsidRPr="00DB1959">
        <w:rPr>
          <w:rFonts w:ascii="Arial" w:eastAsia="Times New Roman" w:hAnsi="Arial" w:cs="Arial"/>
          <w:color w:val="111111"/>
          <w:sz w:val="26"/>
          <w:szCs w:val="26"/>
          <w:lang w:eastAsia="sl-SI"/>
        </w:rPr>
        <w:t xml:space="preserve"> in </w:t>
      </w:r>
      <w:proofErr w:type="spellStart"/>
      <w:r w:rsidRPr="00DB1959">
        <w:rPr>
          <w:rFonts w:ascii="Arial" w:eastAsia="Times New Roman" w:hAnsi="Arial" w:cs="Arial"/>
          <w:color w:val="111111"/>
          <w:sz w:val="26"/>
          <w:szCs w:val="26"/>
          <w:lang w:eastAsia="sl-SI"/>
        </w:rPr>
        <w:t>fotoSOPOTNIK</w:t>
      </w:r>
      <w:proofErr w:type="spellEnd"/>
      <w:r w:rsidRPr="00DB1959">
        <w:rPr>
          <w:rFonts w:ascii="Arial" w:eastAsia="Times New Roman" w:hAnsi="Arial" w:cs="Arial"/>
          <w:color w:val="111111"/>
          <w:sz w:val="26"/>
          <w:szCs w:val="26"/>
          <w:lang w:eastAsia="sl-SI"/>
        </w:rPr>
        <w:t xml:space="preserve"> kot glavnega orodja za zadoščanje potrebam nove skupne kmetijske politike pri delu spremljanja površin oziroma monitoringa.  Opozoril je, da je za natančno pridobivanje podatkov s satelitskim zaznavanjem izjemno pomembna točna prijava površin in kmetijskih rastlin. Lastniki kmetijskih gospodarstev bodo lahko svoje površine v aplikaciji SOPOTNIK spremljali od 1. avgusta dalje.</w:t>
      </w:r>
    </w:p>
    <w:p w:rsidR="00DB1959" w:rsidRDefault="00DB1959" w:rsidP="00DB1959">
      <w:pPr>
        <w:spacing w:after="0" w:line="240" w:lineRule="auto"/>
        <w:textAlignment w:val="baseline"/>
        <w:outlineLvl w:val="1"/>
        <w:rPr>
          <w:rFonts w:ascii="Arial" w:eastAsia="Times New Roman" w:hAnsi="Arial" w:cs="Arial"/>
          <w:b/>
          <w:bCs/>
          <w:color w:val="111111"/>
          <w:sz w:val="42"/>
          <w:szCs w:val="42"/>
          <w:bdr w:val="none" w:sz="0" w:space="0" w:color="auto" w:frame="1"/>
          <w:lang w:eastAsia="sl-SI"/>
        </w:rPr>
      </w:pPr>
      <w:r w:rsidRPr="00DB1959">
        <w:rPr>
          <w:rFonts w:ascii="Arial" w:eastAsia="Times New Roman" w:hAnsi="Arial" w:cs="Arial"/>
          <w:b/>
          <w:bCs/>
          <w:color w:val="111111"/>
          <w:sz w:val="42"/>
          <w:szCs w:val="42"/>
          <w:bdr w:val="none" w:sz="0" w:space="0" w:color="auto" w:frame="1"/>
          <w:lang w:eastAsia="sl-SI"/>
        </w:rPr>
        <w:t>Delovanje AKTRP v lanskem letu</w:t>
      </w:r>
    </w:p>
    <w:p w:rsidR="00DC2FBF" w:rsidRDefault="00DC2FBF" w:rsidP="00DB1959">
      <w:pPr>
        <w:spacing w:after="0" w:line="240" w:lineRule="auto"/>
        <w:textAlignment w:val="baseline"/>
        <w:outlineLvl w:val="1"/>
        <w:rPr>
          <w:rFonts w:ascii="Arial" w:eastAsia="Times New Roman" w:hAnsi="Arial" w:cs="Arial"/>
          <w:b/>
          <w:bCs/>
          <w:color w:val="111111"/>
          <w:sz w:val="42"/>
          <w:szCs w:val="42"/>
          <w:bdr w:val="none" w:sz="0" w:space="0" w:color="auto" w:frame="1"/>
          <w:lang w:eastAsia="sl-SI"/>
        </w:rPr>
      </w:pPr>
      <w:bookmarkStart w:id="0" w:name="_GoBack"/>
      <w:bookmarkEnd w:id="0"/>
    </w:p>
    <w:p w:rsidR="00DB1959" w:rsidRPr="00DB1959" w:rsidRDefault="00DB1959" w:rsidP="00DB1959">
      <w:pPr>
        <w:spacing w:after="360" w:line="240" w:lineRule="auto"/>
        <w:textAlignment w:val="baseline"/>
        <w:rPr>
          <w:rFonts w:ascii="Arial" w:eastAsia="Times New Roman" w:hAnsi="Arial" w:cs="Arial"/>
          <w:color w:val="111111"/>
          <w:sz w:val="26"/>
          <w:szCs w:val="26"/>
          <w:lang w:eastAsia="sl-SI"/>
        </w:rPr>
      </w:pPr>
      <w:r w:rsidRPr="00DB1959">
        <w:rPr>
          <w:rFonts w:ascii="Arial" w:eastAsia="Times New Roman" w:hAnsi="Arial" w:cs="Arial"/>
          <w:color w:val="111111"/>
          <w:sz w:val="26"/>
          <w:szCs w:val="26"/>
          <w:lang w:eastAsia="sl-SI"/>
        </w:rPr>
        <w:t>Mag. Mihelič je predstavil delo AKTRP v preteklem letu. Upravičencem je bilo za ukrepe kmetijske in ribiške politike iz evropskega in nacionalnega proračuna skupno izplačanih 395 milijonov evrov. Največ je bilo izplačil za zahtevke zbirnih vlog, in sicer 223,35 milijona evrov, ter za investicije razvoja podeželja (80,5 milijona evrov). Velik delež izplačil v letu 2022 so predstavljali nacionalni ukrepi v okviru kmetijskih trgov, in sicer kar 71,6 milijona evrov.</w:t>
      </w:r>
    </w:p>
    <w:p w:rsidR="00DB1959" w:rsidRPr="00DB1959" w:rsidRDefault="00DB1959" w:rsidP="00DB1959">
      <w:pPr>
        <w:spacing w:after="360" w:line="240" w:lineRule="auto"/>
        <w:textAlignment w:val="baseline"/>
        <w:rPr>
          <w:rFonts w:ascii="Arial" w:eastAsia="Times New Roman" w:hAnsi="Arial" w:cs="Arial"/>
          <w:color w:val="111111"/>
          <w:sz w:val="26"/>
          <w:szCs w:val="26"/>
          <w:lang w:eastAsia="sl-SI"/>
        </w:rPr>
      </w:pPr>
      <w:r w:rsidRPr="00DB1959">
        <w:rPr>
          <w:rFonts w:ascii="Arial" w:eastAsia="Times New Roman" w:hAnsi="Arial" w:cs="Arial"/>
          <w:color w:val="111111"/>
          <w:sz w:val="26"/>
          <w:szCs w:val="26"/>
          <w:lang w:eastAsia="sl-SI"/>
        </w:rPr>
        <w:t>AKTRP je (pred)plačila za območja z omejenimi dejavniki za kmetijsko dejavnost (OMD) začela izvajati oktobra 2022 in do danes je bilo 45.979 vlagateljem skupno izplačanih slabih 43 milijonov evrov. Za sheme neposrednih plačil za leto 2022 je AKTRP od januarja 2023 do preteklega tedna izplačala že skoraj 130 milijonov evrov.</w:t>
      </w:r>
    </w:p>
    <w:p w:rsidR="00DB1959" w:rsidRPr="00DB1959" w:rsidRDefault="00DB1959" w:rsidP="00DB1959">
      <w:pPr>
        <w:spacing w:after="360" w:line="240" w:lineRule="auto"/>
        <w:textAlignment w:val="baseline"/>
        <w:rPr>
          <w:rFonts w:ascii="Arial" w:eastAsia="Times New Roman" w:hAnsi="Arial" w:cs="Arial"/>
          <w:color w:val="111111"/>
          <w:sz w:val="26"/>
          <w:szCs w:val="26"/>
          <w:lang w:eastAsia="sl-SI"/>
        </w:rPr>
      </w:pPr>
      <w:r w:rsidRPr="00DB1959">
        <w:rPr>
          <w:rFonts w:ascii="Arial" w:eastAsia="Times New Roman" w:hAnsi="Arial" w:cs="Arial"/>
          <w:color w:val="111111"/>
          <w:sz w:val="26"/>
          <w:szCs w:val="26"/>
          <w:lang w:eastAsia="sl-SI"/>
        </w:rPr>
        <w:lastRenderedPageBreak/>
        <w:t>Odločbe za dobrobit živali bodo izdane aprila. Višina izplačil v tem segmentu bo 7,7 milijona evrov.</w:t>
      </w:r>
    </w:p>
    <w:p w:rsidR="00DB1959" w:rsidRPr="00DB1959" w:rsidRDefault="00DB1959" w:rsidP="00DB1959">
      <w:pPr>
        <w:spacing w:after="360" w:line="240" w:lineRule="auto"/>
        <w:textAlignment w:val="baseline"/>
        <w:rPr>
          <w:rFonts w:ascii="Arial" w:eastAsia="Times New Roman" w:hAnsi="Arial" w:cs="Arial"/>
          <w:color w:val="111111"/>
          <w:sz w:val="26"/>
          <w:szCs w:val="26"/>
          <w:lang w:eastAsia="sl-SI"/>
        </w:rPr>
      </w:pPr>
      <w:r w:rsidRPr="00DB1959">
        <w:rPr>
          <w:rFonts w:ascii="Arial" w:eastAsia="Times New Roman" w:hAnsi="Arial" w:cs="Arial"/>
          <w:color w:val="111111"/>
          <w:sz w:val="26"/>
          <w:szCs w:val="26"/>
          <w:lang w:eastAsia="sl-SI"/>
        </w:rPr>
        <w:t>Z izdajo odločb za ekološko kmetovanje bo AKTRP pričela aprila, izplačano bo 2,8 milijona evrov, v maju pa bo izplačanih osem milijonov evrov.</w:t>
      </w:r>
    </w:p>
    <w:p w:rsidR="00DB1959" w:rsidRPr="00DB1959" w:rsidRDefault="00DB1959" w:rsidP="00DB1959">
      <w:pPr>
        <w:spacing w:after="360" w:line="240" w:lineRule="auto"/>
        <w:textAlignment w:val="baseline"/>
        <w:rPr>
          <w:rFonts w:ascii="Arial" w:eastAsia="Times New Roman" w:hAnsi="Arial" w:cs="Arial"/>
          <w:color w:val="111111"/>
          <w:sz w:val="26"/>
          <w:szCs w:val="26"/>
          <w:lang w:eastAsia="sl-SI"/>
        </w:rPr>
      </w:pPr>
      <w:r w:rsidRPr="00DB1959">
        <w:rPr>
          <w:rFonts w:ascii="Arial" w:eastAsia="Times New Roman" w:hAnsi="Arial" w:cs="Arial"/>
          <w:color w:val="111111"/>
          <w:sz w:val="26"/>
          <w:szCs w:val="26"/>
          <w:lang w:eastAsia="sl-SI"/>
        </w:rPr>
        <w:t>Odločbe za kmetijsko</w:t>
      </w:r>
      <w:r w:rsidR="00EF7D6F">
        <w:rPr>
          <w:rFonts w:ascii="Arial" w:eastAsia="Times New Roman" w:hAnsi="Arial" w:cs="Arial"/>
          <w:color w:val="111111"/>
          <w:sz w:val="26"/>
          <w:szCs w:val="26"/>
          <w:lang w:eastAsia="sl-SI"/>
        </w:rPr>
        <w:t xml:space="preserve"> </w:t>
      </w:r>
      <w:r w:rsidRPr="00DB1959">
        <w:rPr>
          <w:rFonts w:ascii="Arial" w:eastAsia="Times New Roman" w:hAnsi="Arial" w:cs="Arial"/>
          <w:color w:val="111111"/>
          <w:sz w:val="26"/>
          <w:szCs w:val="26"/>
          <w:lang w:eastAsia="sl-SI"/>
        </w:rPr>
        <w:t>-</w:t>
      </w:r>
      <w:r w:rsidR="00EF7D6F">
        <w:rPr>
          <w:rFonts w:ascii="Arial" w:eastAsia="Times New Roman" w:hAnsi="Arial" w:cs="Arial"/>
          <w:color w:val="111111"/>
          <w:sz w:val="26"/>
          <w:szCs w:val="26"/>
          <w:lang w:eastAsia="sl-SI"/>
        </w:rPr>
        <w:t xml:space="preserve"> </w:t>
      </w:r>
      <w:proofErr w:type="spellStart"/>
      <w:r w:rsidRPr="00DB1959">
        <w:rPr>
          <w:rFonts w:ascii="Arial" w:eastAsia="Times New Roman" w:hAnsi="Arial" w:cs="Arial"/>
          <w:color w:val="111111"/>
          <w:sz w:val="26"/>
          <w:szCs w:val="26"/>
          <w:lang w:eastAsia="sl-SI"/>
        </w:rPr>
        <w:t>okoljska</w:t>
      </w:r>
      <w:proofErr w:type="spellEnd"/>
      <w:r w:rsidRPr="00DB1959">
        <w:rPr>
          <w:rFonts w:ascii="Arial" w:eastAsia="Times New Roman" w:hAnsi="Arial" w:cs="Arial"/>
          <w:color w:val="111111"/>
          <w:sz w:val="26"/>
          <w:szCs w:val="26"/>
          <w:lang w:eastAsia="sl-SI"/>
        </w:rPr>
        <w:t xml:space="preserve"> in podnebna plačila (KOPOP) bodo izdane v maju in juniju. Temu sledijo izplačila v višini 31,5 milijona evrov.</w:t>
      </w:r>
    </w:p>
    <w:p w:rsidR="00DB1959" w:rsidRPr="00DB1959" w:rsidRDefault="00DB1959" w:rsidP="00DB1959">
      <w:pPr>
        <w:spacing w:after="360" w:line="240" w:lineRule="auto"/>
        <w:textAlignment w:val="baseline"/>
        <w:rPr>
          <w:rFonts w:ascii="Arial" w:eastAsia="Times New Roman" w:hAnsi="Arial" w:cs="Arial"/>
          <w:color w:val="111111"/>
          <w:sz w:val="26"/>
          <w:szCs w:val="26"/>
          <w:lang w:eastAsia="sl-SI"/>
        </w:rPr>
      </w:pPr>
      <w:r w:rsidRPr="00DB1959">
        <w:rPr>
          <w:rFonts w:ascii="Arial" w:eastAsia="Times New Roman" w:hAnsi="Arial" w:cs="Arial"/>
          <w:color w:val="111111"/>
          <w:sz w:val="26"/>
          <w:szCs w:val="26"/>
          <w:lang w:eastAsia="sl-SI"/>
        </w:rPr>
        <w:t>V okviru razvoja podeželja je bilo v letu 2022 odobrenih 3.970 vlog v skupni vrednosti 135,61 milijona evrov, obravnavanih pa je bilo 4.650 zahtevkov za izplačilo sredstev in izplačano 83,37 milijona evrov.</w:t>
      </w:r>
    </w:p>
    <w:p w:rsidR="00DB1959" w:rsidRPr="00DB1959" w:rsidRDefault="00DB1959" w:rsidP="00DB1959">
      <w:pPr>
        <w:spacing w:after="360" w:line="240" w:lineRule="auto"/>
        <w:textAlignment w:val="baseline"/>
        <w:rPr>
          <w:rFonts w:ascii="Arial" w:eastAsia="Times New Roman" w:hAnsi="Arial" w:cs="Arial"/>
          <w:color w:val="111111"/>
          <w:sz w:val="26"/>
          <w:szCs w:val="26"/>
          <w:lang w:eastAsia="sl-SI"/>
        </w:rPr>
      </w:pPr>
      <w:r w:rsidRPr="00DB1959">
        <w:rPr>
          <w:rFonts w:ascii="Arial" w:eastAsia="Times New Roman" w:hAnsi="Arial" w:cs="Arial"/>
          <w:color w:val="111111"/>
          <w:sz w:val="26"/>
          <w:szCs w:val="26"/>
          <w:lang w:eastAsia="sl-SI"/>
        </w:rPr>
        <w:t>Za ukrepe kmetijskih trgov je bilo v letu 2022 skupno izplačano 82,76 milijona evrov, od tega 66,45 milijona evrov za izredne ukrepe, ki so bili uvedeni kot pomoč zaradi dviga cen energentov, skladno z Začasnim okvirjem zaradi agresije Rusije proti Ukrajini in izravnalne pomoči v sektorju živinoreje (mleka) ter naravnih nesreč v kmetijstvu. Zaradi posledic dviga cen energentov, začasnim okvirjem in izravnalne pomoči v sektorju živinoreje ter naravnih nesreč v kmetijstvu je bilo izvedenih devet dodatnih ukrepov, za katere se je glavnina izplačil izvedla od aprila do septembra 2022.</w:t>
      </w:r>
    </w:p>
    <w:p w:rsidR="00DB1959" w:rsidRPr="00DB1959" w:rsidRDefault="00DB1959" w:rsidP="00DB1959">
      <w:pPr>
        <w:spacing w:after="360" w:line="240" w:lineRule="auto"/>
        <w:textAlignment w:val="baseline"/>
        <w:rPr>
          <w:rFonts w:ascii="Arial" w:eastAsia="Times New Roman" w:hAnsi="Arial" w:cs="Arial"/>
          <w:color w:val="111111"/>
          <w:sz w:val="26"/>
          <w:szCs w:val="26"/>
          <w:lang w:eastAsia="sl-SI"/>
        </w:rPr>
      </w:pPr>
      <w:r w:rsidRPr="00DB1959">
        <w:rPr>
          <w:rFonts w:ascii="Arial" w:eastAsia="Times New Roman" w:hAnsi="Arial" w:cs="Arial"/>
          <w:color w:val="111111"/>
          <w:sz w:val="26"/>
          <w:szCs w:val="26"/>
          <w:lang w:eastAsia="sl-SI"/>
        </w:rPr>
        <w:t>AKTRP je izpolnjevanje predpisanih pogojev in s tem upravičenost do javnih sredstev za vse ukrepe kmetijske politike tudi lani v celoti preverjala administrativno ter delno na terenu. Tako je skupaj s podizvajalcem za ukrepe neposrednih plačil, razvoja podeželja in kmetijskih trgov lani izvedla 7.205 kontrol na kraju samem.</w:t>
      </w:r>
    </w:p>
    <w:p w:rsidR="00DB1959" w:rsidRPr="00DB1959" w:rsidRDefault="00DB1959" w:rsidP="00EF7D6F">
      <w:pPr>
        <w:spacing w:beforeAutospacing="1" w:after="0" w:line="240" w:lineRule="auto"/>
        <w:textAlignment w:val="baseline"/>
        <w:rPr>
          <w:rFonts w:ascii="Arial" w:eastAsia="Times New Roman" w:hAnsi="Arial" w:cs="Arial"/>
          <w:color w:val="111111"/>
          <w:sz w:val="26"/>
          <w:szCs w:val="26"/>
          <w:lang w:eastAsia="sl-SI"/>
        </w:rPr>
      </w:pPr>
      <w:r w:rsidRPr="00DB1959">
        <w:rPr>
          <w:rFonts w:ascii="Arial" w:eastAsia="Times New Roman" w:hAnsi="Arial" w:cs="Arial"/>
          <w:b/>
          <w:bCs/>
          <w:color w:val="111111"/>
          <w:sz w:val="26"/>
          <w:szCs w:val="26"/>
          <w:bdr w:val="none" w:sz="0" w:space="0" w:color="auto" w:frame="1"/>
          <w:lang w:eastAsia="sl-SI"/>
        </w:rPr>
        <w:t>Informacije o vseh pomembnih rokih, pogojih, novostih in spremembah so vlagateljem na voljo na spletnih straneh Agencije, v </w:t>
      </w:r>
      <w:hyperlink r:id="rId10" w:history="1">
        <w:r w:rsidRPr="00DB1959">
          <w:rPr>
            <w:rFonts w:ascii="Arial" w:eastAsia="Times New Roman" w:hAnsi="Arial" w:cs="Arial"/>
            <w:b/>
            <w:bCs/>
            <w:color w:val="397289"/>
            <w:sz w:val="26"/>
            <w:szCs w:val="26"/>
            <w:u w:val="single"/>
            <w:bdr w:val="none" w:sz="0" w:space="0" w:color="auto" w:frame="1"/>
            <w:lang w:eastAsia="sl-SI"/>
          </w:rPr>
          <w:t>storitvi »Oddaja zbirne vloge za leto 2023«.</w:t>
        </w:r>
      </w:hyperlink>
    </w:p>
    <w:p w:rsidR="00DB1959" w:rsidRPr="00DB1959" w:rsidRDefault="00DB1959" w:rsidP="00EF7D6F">
      <w:pPr>
        <w:spacing w:beforeAutospacing="1" w:after="0" w:line="240" w:lineRule="auto"/>
        <w:textAlignment w:val="baseline"/>
        <w:rPr>
          <w:rFonts w:ascii="Arial" w:eastAsia="Times New Roman" w:hAnsi="Arial" w:cs="Arial"/>
          <w:color w:val="111111"/>
          <w:sz w:val="26"/>
          <w:szCs w:val="26"/>
          <w:lang w:eastAsia="sl-SI"/>
        </w:rPr>
      </w:pPr>
      <w:r w:rsidRPr="00DB1959">
        <w:rPr>
          <w:rFonts w:ascii="Arial" w:eastAsia="Times New Roman" w:hAnsi="Arial" w:cs="Arial"/>
          <w:b/>
          <w:bCs/>
          <w:color w:val="111111"/>
          <w:sz w:val="26"/>
          <w:szCs w:val="26"/>
          <w:bdr w:val="none" w:sz="0" w:space="0" w:color="auto" w:frame="1"/>
          <w:lang w:eastAsia="sl-SI"/>
        </w:rPr>
        <w:t>Pomoč kmetom nudi Javna služba kmetijskega svetovanja  ki deluje v okviru Kmetijsko gozdarske zbornice Slovenije, in sicer na 73 vnosnih mestih, vanjo pa je vključenih 214 usposobljenih kmetijskih svetovalcev.  Kmetje se na vnos zbirne vloge naročijo pri svojem kmetijskem svetovalcu, dodatne informacije so objavljene na </w:t>
      </w:r>
      <w:hyperlink r:id="rId11" w:history="1">
        <w:r w:rsidRPr="00DB1959">
          <w:rPr>
            <w:rFonts w:ascii="Arial" w:eastAsia="Times New Roman" w:hAnsi="Arial" w:cs="Arial"/>
            <w:b/>
            <w:bCs/>
            <w:color w:val="397289"/>
            <w:sz w:val="26"/>
            <w:szCs w:val="26"/>
            <w:u w:val="single"/>
            <w:bdr w:val="none" w:sz="0" w:space="0" w:color="auto" w:frame="1"/>
            <w:lang w:eastAsia="sl-SI"/>
          </w:rPr>
          <w:t>posebni spletni strani</w:t>
        </w:r>
      </w:hyperlink>
      <w:r w:rsidRPr="00DB1959">
        <w:rPr>
          <w:rFonts w:ascii="Arial" w:eastAsia="Times New Roman" w:hAnsi="Arial" w:cs="Arial"/>
          <w:b/>
          <w:bCs/>
          <w:color w:val="111111"/>
          <w:sz w:val="26"/>
          <w:szCs w:val="26"/>
          <w:bdr w:val="none" w:sz="0" w:space="0" w:color="auto" w:frame="1"/>
          <w:lang w:eastAsia="sl-SI"/>
        </w:rPr>
        <w:t>.</w:t>
      </w:r>
    </w:p>
    <w:p w:rsidR="00213843" w:rsidRDefault="00213843"/>
    <w:sectPr w:rsidR="002138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E0269"/>
    <w:multiLevelType w:val="multilevel"/>
    <w:tmpl w:val="6B7E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D2447C"/>
    <w:multiLevelType w:val="multilevel"/>
    <w:tmpl w:val="F3AA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959"/>
    <w:rsid w:val="00213843"/>
    <w:rsid w:val="00413B87"/>
    <w:rsid w:val="00DB1959"/>
    <w:rsid w:val="00DC2FBF"/>
    <w:rsid w:val="00EF7D6F"/>
    <w:rsid w:val="00F65A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99CD0"/>
  <w15:chartTrackingRefBased/>
  <w15:docId w15:val="{E80DB3DF-112E-47E4-A18C-C2CD0259B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uiPriority w:val="9"/>
    <w:qFormat/>
    <w:rsid w:val="00DB19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2">
    <w:name w:val="heading 2"/>
    <w:basedOn w:val="Navaden"/>
    <w:link w:val="Naslov2Znak"/>
    <w:uiPriority w:val="9"/>
    <w:qFormat/>
    <w:rsid w:val="00DB1959"/>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DB1959"/>
    <w:rPr>
      <w:rFonts w:ascii="Times New Roman" w:eastAsia="Times New Roman" w:hAnsi="Times New Roman" w:cs="Times New Roman"/>
      <w:b/>
      <w:bCs/>
      <w:kern w:val="36"/>
      <w:sz w:val="48"/>
      <w:szCs w:val="48"/>
      <w:lang w:eastAsia="sl-SI"/>
    </w:rPr>
  </w:style>
  <w:style w:type="character" w:customStyle="1" w:styleId="Naslov2Znak">
    <w:name w:val="Naslov 2 Znak"/>
    <w:basedOn w:val="Privzetapisavaodstavka"/>
    <w:link w:val="Naslov2"/>
    <w:uiPriority w:val="9"/>
    <w:rsid w:val="00DB1959"/>
    <w:rPr>
      <w:rFonts w:ascii="Times New Roman" w:eastAsia="Times New Roman" w:hAnsi="Times New Roman" w:cs="Times New Roman"/>
      <w:b/>
      <w:bCs/>
      <w:sz w:val="36"/>
      <w:szCs w:val="36"/>
      <w:lang w:eastAsia="sl-SI"/>
    </w:rPr>
  </w:style>
  <w:style w:type="character" w:styleId="Hiperpovezava">
    <w:name w:val="Hyperlink"/>
    <w:basedOn w:val="Privzetapisavaodstavka"/>
    <w:uiPriority w:val="99"/>
    <w:semiHidden/>
    <w:unhideWhenUsed/>
    <w:rsid w:val="00DB1959"/>
    <w:rPr>
      <w:color w:val="0000FF"/>
      <w:u w:val="single"/>
    </w:rPr>
  </w:style>
  <w:style w:type="paragraph" w:styleId="Navadensplet">
    <w:name w:val="Normal (Web)"/>
    <w:basedOn w:val="Navaden"/>
    <w:uiPriority w:val="99"/>
    <w:semiHidden/>
    <w:unhideWhenUsed/>
    <w:rsid w:val="00DB195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DB19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673346">
      <w:bodyDiv w:val="1"/>
      <w:marLeft w:val="0"/>
      <w:marRight w:val="0"/>
      <w:marTop w:val="0"/>
      <w:marBottom w:val="0"/>
      <w:divBdr>
        <w:top w:val="none" w:sz="0" w:space="0" w:color="auto"/>
        <w:left w:val="none" w:sz="0" w:space="0" w:color="auto"/>
        <w:bottom w:val="none" w:sz="0" w:space="0" w:color="auto"/>
        <w:right w:val="none" w:sz="0" w:space="0" w:color="auto"/>
      </w:divBdr>
      <w:divsChild>
        <w:div w:id="561796749">
          <w:marLeft w:val="0"/>
          <w:marRight w:val="0"/>
          <w:marTop w:val="0"/>
          <w:marBottom w:val="0"/>
          <w:divBdr>
            <w:top w:val="none" w:sz="0" w:space="0" w:color="auto"/>
            <w:left w:val="none" w:sz="0" w:space="0" w:color="auto"/>
            <w:bottom w:val="none" w:sz="0" w:space="0" w:color="auto"/>
            <w:right w:val="none" w:sz="0" w:space="0" w:color="auto"/>
          </w:divBdr>
          <w:divsChild>
            <w:div w:id="327293911">
              <w:marLeft w:val="0"/>
              <w:marRight w:val="0"/>
              <w:marTop w:val="0"/>
              <w:marBottom w:val="0"/>
              <w:divBdr>
                <w:top w:val="none" w:sz="0" w:space="0" w:color="auto"/>
                <w:left w:val="none" w:sz="0" w:space="0" w:color="auto"/>
                <w:bottom w:val="none" w:sz="0" w:space="0" w:color="auto"/>
                <w:right w:val="none" w:sz="0" w:space="0" w:color="auto"/>
              </w:divBdr>
            </w:div>
          </w:divsChild>
        </w:div>
        <w:div w:id="1399745804">
          <w:marLeft w:val="0"/>
          <w:marRight w:val="0"/>
          <w:marTop w:val="0"/>
          <w:marBottom w:val="0"/>
          <w:divBdr>
            <w:top w:val="none" w:sz="0" w:space="0" w:color="auto"/>
            <w:left w:val="none" w:sz="0" w:space="0" w:color="auto"/>
            <w:bottom w:val="none" w:sz="0" w:space="0" w:color="auto"/>
            <w:right w:val="none" w:sz="0" w:space="0" w:color="auto"/>
          </w:divBdr>
          <w:divsChild>
            <w:div w:id="971905291">
              <w:marLeft w:val="0"/>
              <w:marRight w:val="0"/>
              <w:marTop w:val="0"/>
              <w:marBottom w:val="0"/>
              <w:divBdr>
                <w:top w:val="none" w:sz="0" w:space="0" w:color="auto"/>
                <w:left w:val="none" w:sz="0" w:space="0" w:color="auto"/>
                <w:bottom w:val="none" w:sz="0" w:space="0" w:color="auto"/>
                <w:right w:val="none" w:sz="0" w:space="0" w:color="auto"/>
              </w:divBdr>
              <w:divsChild>
                <w:div w:id="1543857097">
                  <w:marLeft w:val="0"/>
                  <w:marRight w:val="0"/>
                  <w:marTop w:val="0"/>
                  <w:marBottom w:val="0"/>
                  <w:divBdr>
                    <w:top w:val="none" w:sz="0" w:space="0" w:color="auto"/>
                    <w:left w:val="none" w:sz="0" w:space="0" w:color="auto"/>
                    <w:bottom w:val="none" w:sz="0" w:space="0" w:color="auto"/>
                    <w:right w:val="none" w:sz="0" w:space="0" w:color="auto"/>
                  </w:divBdr>
                  <w:divsChild>
                    <w:div w:id="1012562206">
                      <w:marLeft w:val="0"/>
                      <w:marRight w:val="0"/>
                      <w:marTop w:val="0"/>
                      <w:marBottom w:val="360"/>
                      <w:divBdr>
                        <w:top w:val="single" w:sz="6" w:space="8" w:color="D7D7D7"/>
                        <w:left w:val="single" w:sz="2" w:space="0" w:color="D7D7D7"/>
                        <w:bottom w:val="single" w:sz="6" w:space="8" w:color="D7D7D7"/>
                        <w:right w:val="single" w:sz="2" w:space="0" w:color="D7D7D7"/>
                      </w:divBdr>
                    </w:div>
                    <w:div w:id="796338395">
                      <w:marLeft w:val="0"/>
                      <w:marRight w:val="0"/>
                      <w:marTop w:val="0"/>
                      <w:marBottom w:val="360"/>
                      <w:divBdr>
                        <w:top w:val="none" w:sz="0" w:space="0" w:color="auto"/>
                        <w:left w:val="none" w:sz="0" w:space="0" w:color="auto"/>
                        <w:bottom w:val="none" w:sz="0" w:space="0" w:color="auto"/>
                        <w:right w:val="none" w:sz="0" w:space="0" w:color="auto"/>
                      </w:divBdr>
                    </w:div>
                    <w:div w:id="313681729">
                      <w:marLeft w:val="0"/>
                      <w:marRight w:val="0"/>
                      <w:marTop w:val="0"/>
                      <w:marBottom w:val="0"/>
                      <w:divBdr>
                        <w:top w:val="none" w:sz="0" w:space="0" w:color="auto"/>
                        <w:left w:val="none" w:sz="0" w:space="0" w:color="auto"/>
                        <w:bottom w:val="none" w:sz="0" w:space="0" w:color="auto"/>
                        <w:right w:val="none" w:sz="0" w:space="0" w:color="auto"/>
                      </w:divBdr>
                      <w:divsChild>
                        <w:div w:id="765924018">
                          <w:marLeft w:val="0"/>
                          <w:marRight w:val="0"/>
                          <w:marTop w:val="0"/>
                          <w:marBottom w:val="0"/>
                          <w:divBdr>
                            <w:top w:val="none" w:sz="0" w:space="0" w:color="auto"/>
                            <w:left w:val="none" w:sz="0" w:space="0" w:color="auto"/>
                            <w:bottom w:val="none" w:sz="0" w:space="0" w:color="auto"/>
                            <w:right w:val="none" w:sz="0" w:space="0" w:color="auto"/>
                          </w:divBdr>
                          <w:divsChild>
                            <w:div w:id="825630043">
                              <w:marLeft w:val="0"/>
                              <w:marRight w:val="0"/>
                              <w:marTop w:val="0"/>
                              <w:marBottom w:val="0"/>
                              <w:divBdr>
                                <w:top w:val="none" w:sz="0" w:space="0" w:color="auto"/>
                                <w:left w:val="none" w:sz="0" w:space="0" w:color="auto"/>
                                <w:bottom w:val="none" w:sz="0" w:space="0" w:color="auto"/>
                                <w:right w:val="none" w:sz="0" w:space="0" w:color="auto"/>
                              </w:divBdr>
                              <w:divsChild>
                                <w:div w:id="202860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022510">
                          <w:marLeft w:val="0"/>
                          <w:marRight w:val="0"/>
                          <w:marTop w:val="600"/>
                          <w:marBottom w:val="600"/>
                          <w:divBdr>
                            <w:top w:val="none" w:sz="0" w:space="0" w:color="auto"/>
                            <w:left w:val="none" w:sz="0" w:space="0" w:color="auto"/>
                            <w:bottom w:val="none" w:sz="0" w:space="0" w:color="auto"/>
                            <w:right w:val="none" w:sz="0" w:space="0" w:color="auto"/>
                          </w:divBdr>
                          <w:divsChild>
                            <w:div w:id="1655839074">
                              <w:marLeft w:val="0"/>
                              <w:marRight w:val="0"/>
                              <w:marTop w:val="0"/>
                              <w:marBottom w:val="0"/>
                              <w:divBdr>
                                <w:top w:val="none" w:sz="0" w:space="0" w:color="auto"/>
                                <w:left w:val="none" w:sz="0" w:space="0" w:color="auto"/>
                                <w:bottom w:val="none" w:sz="0" w:space="0" w:color="auto"/>
                                <w:right w:val="none" w:sz="0" w:space="0" w:color="auto"/>
                              </w:divBdr>
                              <w:divsChild>
                                <w:div w:id="37555924">
                                  <w:marLeft w:val="0"/>
                                  <w:marRight w:val="0"/>
                                  <w:marTop w:val="0"/>
                                  <w:marBottom w:val="0"/>
                                  <w:divBdr>
                                    <w:top w:val="none" w:sz="0" w:space="0" w:color="auto"/>
                                    <w:left w:val="none" w:sz="0" w:space="0" w:color="auto"/>
                                    <w:bottom w:val="none" w:sz="0" w:space="0" w:color="auto"/>
                                    <w:right w:val="none" w:sz="0" w:space="0" w:color="auto"/>
                                  </w:divBdr>
                                  <w:divsChild>
                                    <w:div w:id="94981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961835">
                          <w:marLeft w:val="0"/>
                          <w:marRight w:val="0"/>
                          <w:marTop w:val="0"/>
                          <w:marBottom w:val="0"/>
                          <w:divBdr>
                            <w:top w:val="none" w:sz="0" w:space="0" w:color="auto"/>
                            <w:left w:val="none" w:sz="0" w:space="0" w:color="auto"/>
                            <w:bottom w:val="none" w:sz="0" w:space="0" w:color="auto"/>
                            <w:right w:val="none" w:sz="0" w:space="0" w:color="auto"/>
                          </w:divBdr>
                          <w:divsChild>
                            <w:div w:id="1882936025">
                              <w:marLeft w:val="0"/>
                              <w:marRight w:val="0"/>
                              <w:marTop w:val="0"/>
                              <w:marBottom w:val="0"/>
                              <w:divBdr>
                                <w:top w:val="none" w:sz="0" w:space="0" w:color="auto"/>
                                <w:left w:val="none" w:sz="0" w:space="0" w:color="auto"/>
                                <w:bottom w:val="none" w:sz="0" w:space="0" w:color="auto"/>
                                <w:right w:val="none" w:sz="0" w:space="0" w:color="auto"/>
                              </w:divBdr>
                              <w:divsChild>
                                <w:div w:id="186798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gled.arsktrp.gov.si/predvidena_izplacila.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si/assets/organi-v-sestavi/ARSKTRP/SNP/ZV-2023/03-Dolga-navodila-POPRAVEK-Navodila-za-izvajanje-intervencij-iz-SN-SKP....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kgzs.si/zbirne-vloge" TargetMode="External"/><Relationship Id="rId5" Type="http://schemas.openxmlformats.org/officeDocument/2006/relationships/hyperlink" Target="https://www.gov.si/assets/ministrstva/MKGP/FOTOGRAFIJE/NOVICE/2023/23_03_MAREC/28_NK-Subvencijska-kampanja/20230328_103152.jpg" TargetMode="External"/><Relationship Id="rId10" Type="http://schemas.openxmlformats.org/officeDocument/2006/relationships/hyperlink" Target="https://www.gov.si/zbirke/storitve/oddaja-zbirne-vloge-za-leto-2023/" TargetMode="External"/><Relationship Id="rId4" Type="http://schemas.openxmlformats.org/officeDocument/2006/relationships/webSettings" Target="webSettings.xml"/><Relationship Id="rId9" Type="http://schemas.openxmlformats.org/officeDocument/2006/relationships/hyperlink" Target="https://www.gov.si/zbirke/storitve/vpogled-v-podatke-satelitskega-spremljanja-povrsin/"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1222</Words>
  <Characters>6966</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Bozovičar</dc:creator>
  <cp:keywords/>
  <dc:description/>
  <cp:lastModifiedBy>Mojca Bozovičar</cp:lastModifiedBy>
  <cp:revision>3</cp:revision>
  <dcterms:created xsi:type="dcterms:W3CDTF">2023-03-29T05:22:00Z</dcterms:created>
  <dcterms:modified xsi:type="dcterms:W3CDTF">2023-03-29T05:56:00Z</dcterms:modified>
</cp:coreProperties>
</file>