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0C" w:rsidRPr="00FF1EFC" w:rsidRDefault="00AF5B0C" w:rsidP="00AF5B0C">
      <w:pPr>
        <w:pStyle w:val="ZADEVA"/>
        <w:spacing w:line="276" w:lineRule="auto"/>
        <w:jc w:val="both"/>
        <w:rPr>
          <w:rFonts w:ascii="Tahoma" w:hAnsi="Tahoma" w:cs="Tahoma"/>
          <w:sz w:val="24"/>
          <w:lang w:val="sl-SI"/>
        </w:rPr>
      </w:pPr>
      <w:r w:rsidRPr="00FF1EFC">
        <w:rPr>
          <w:rFonts w:ascii="Tahoma" w:hAnsi="Tahoma" w:cs="Tahoma"/>
          <w:sz w:val="24"/>
          <w:lang w:val="sl-SI" w:eastAsia="sl-SI"/>
        </w:rPr>
        <w:t xml:space="preserve">Predlogi za 3. spremembo Strateškega načrta SKP  </w:t>
      </w:r>
    </w:p>
    <w:p w:rsidR="00AF5B0C" w:rsidRPr="00FF1EFC" w:rsidRDefault="00AF5B0C" w:rsidP="00AF5B0C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ahoma" w:hAnsi="Tahoma" w:cs="Tahoma"/>
          <w:b/>
          <w:sz w:val="24"/>
          <w:szCs w:val="24"/>
          <w:lang w:eastAsia="sl-SI"/>
        </w:rPr>
      </w:pPr>
      <w:r w:rsidRPr="00FF1EFC">
        <w:rPr>
          <w:rFonts w:ascii="Tahoma" w:hAnsi="Tahoma" w:cs="Tahoma"/>
          <w:b/>
          <w:sz w:val="24"/>
          <w:szCs w:val="24"/>
          <w:lang w:eastAsia="sl-SI"/>
        </w:rPr>
        <w:t xml:space="preserve">V pripravi je 3. predlog spremembe Strateškega načrta 2023–2027.  Povzemamo nekaj pomembnejših sprememb, ki so vključene tudi na podlagi zahtev Kmetijsko gozdarske zbornice Slovenije (KGZS). </w:t>
      </w:r>
    </w:p>
    <w:p w:rsidR="00AF5B0C" w:rsidRPr="00FF1EFC" w:rsidRDefault="00AF5B0C" w:rsidP="00AF5B0C">
      <w:pPr>
        <w:tabs>
          <w:tab w:val="left" w:pos="283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ahoma" w:hAnsi="Tahoma" w:cs="Tahoma"/>
          <w:sz w:val="24"/>
          <w:szCs w:val="24"/>
          <w:lang w:eastAsia="sl-SI"/>
        </w:rPr>
      </w:pPr>
      <w:r w:rsidRPr="00FF1EFC">
        <w:rPr>
          <w:rFonts w:ascii="Tahoma" w:hAnsi="Tahoma" w:cs="Tahoma"/>
          <w:sz w:val="24"/>
          <w:szCs w:val="24"/>
          <w:lang w:eastAsia="sl-SI"/>
        </w:rPr>
        <w:t>Najvišji znesek podpore v programskem obdobju 2023–2027 za naložbe v primarno kmetijsko proizvodnjo se poviša za kolektivne naložbe pri intervenciji IRP03 – Kolektivne naložbe v kmetijstvu za skupno pripravo kmetijskih proizvodov za trg in razvoj močnih in odpornih verig vrednosti preskrbe s hrano. Poviša se iz 800.000 € na 1.500.000 €. Za vse ostale naložbene intervencije SN SKP 2023–2027 ostane najvišji odobren znesek podpore v programskem obdobju 2023–2027 800.000 €.</w:t>
      </w:r>
    </w:p>
    <w:p w:rsidR="00AF5B0C" w:rsidRPr="00FF1EFC" w:rsidRDefault="00AF5B0C" w:rsidP="00AF5B0C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FF1EFC">
        <w:rPr>
          <w:rFonts w:ascii="Tahoma" w:hAnsi="Tahoma" w:cs="Tahoma"/>
          <w:color w:val="auto"/>
        </w:rPr>
        <w:t xml:space="preserve">Vezana dohodkovna podpora za zelenjadnice se uvede z letom 2025 za vse pridelovalce zelenjave, ki vodijo dvostavno knjigovodstvo s posebnim stroškovnim mestom za zelenjavo ali so povezani v skupine proizvajalcev ali organizacije proizvajalcev ali prodajajo zelenjavo preko zadrug. </w:t>
      </w:r>
    </w:p>
    <w:p w:rsidR="00AF5B0C" w:rsidRPr="00FF1EFC" w:rsidRDefault="00AF5B0C" w:rsidP="00AF5B0C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FF1EFC">
        <w:rPr>
          <w:rFonts w:ascii="Tahoma" w:hAnsi="Tahoma" w:cs="Tahoma"/>
          <w:color w:val="auto"/>
        </w:rPr>
        <w:t>Na ta način bo zagotovljena sledljivost zelenjave, da je bila prodana za prehranske namene, hkrati pa se s temi pogoji podpre tudi povezovanje, ki prispeva k višji konkurenčnosti sektorja. Natančnejši pogoji, vključno z vstopnim pragom in izkazom določenega obsega prodaje zelenjave bodo še določeni.</w:t>
      </w:r>
    </w:p>
    <w:p w:rsidR="00AF5B0C" w:rsidRPr="00FF1EFC" w:rsidRDefault="00AF5B0C" w:rsidP="00AF5B0C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FF1EFC">
        <w:rPr>
          <w:rFonts w:ascii="Tahoma" w:hAnsi="Tahoma" w:cs="Tahoma"/>
          <w:color w:val="auto"/>
          <w:lang w:eastAsia="sl-SI"/>
        </w:rPr>
        <w:t xml:space="preserve">Na predlagane pogoje je KGZS podala ker nekaj pripomb in zahtev, predvsem pri znižanju zahtevanih pogojev za kmetije z manjšimi površinami. </w:t>
      </w:r>
      <w:r w:rsidRPr="00FF1EFC">
        <w:rPr>
          <w:rFonts w:ascii="Tahoma" w:hAnsi="Tahoma" w:cs="Tahoma"/>
          <w:color w:val="auto"/>
        </w:rPr>
        <w:t>Sredstva za vezano dohodkovno podporo za zelenjavo bodo pridobljena z nižanjem sredstev pri obstoječih vezanih dohodkovnih podporah.</w:t>
      </w:r>
    </w:p>
    <w:p w:rsidR="00AF5B0C" w:rsidRPr="00FF1EFC" w:rsidRDefault="00AF5B0C" w:rsidP="00AF5B0C">
      <w:pPr>
        <w:pStyle w:val="Default"/>
        <w:spacing w:line="276" w:lineRule="auto"/>
        <w:jc w:val="both"/>
        <w:rPr>
          <w:rFonts w:ascii="Tahoma" w:hAnsi="Tahoma" w:cs="Tahoma"/>
          <w:color w:val="auto"/>
          <w:lang w:eastAsia="sl-SI"/>
        </w:rPr>
      </w:pPr>
      <w:r w:rsidRPr="00FF1EFC">
        <w:rPr>
          <w:rFonts w:ascii="Tahoma" w:hAnsi="Tahoma" w:cs="Tahoma"/>
          <w:color w:val="auto"/>
          <w:lang w:eastAsia="sl-SI"/>
        </w:rPr>
        <w:t xml:space="preserve">Pri pogojenosti se predlagajo spremembe pri DKOP 6 glede pokritosti tal in se kot izjema dodajajo tudi hmelj, jara žita in sladki krompir, kar je bila že ves čas tudi zahteva KGZS.  </w:t>
      </w:r>
    </w:p>
    <w:p w:rsidR="005A7C56" w:rsidRPr="00FF061C" w:rsidRDefault="00FF061C" w:rsidP="00FF061C">
      <w:pPr>
        <w:pStyle w:val="Default"/>
        <w:spacing w:line="276" w:lineRule="auto"/>
        <w:jc w:val="both"/>
        <w:rPr>
          <w:rFonts w:ascii="Tahoma" w:hAnsi="Tahoma" w:cs="Tahoma"/>
          <w:color w:val="auto"/>
          <w:lang w:eastAsia="sl-SI"/>
        </w:rPr>
      </w:pPr>
      <w:r w:rsidRPr="00FF061C">
        <w:rPr>
          <w:rFonts w:ascii="Tahoma" w:hAnsi="Tahoma" w:cs="Tahoma"/>
          <w:color w:val="auto"/>
          <w:lang w:eastAsia="sl-SI"/>
        </w:rPr>
        <w:t xml:space="preserve">Na seznam izjem so dodani še sladkorna pesa, jara žita, pivovarski ječmen, zelje, sončnice in hmelj, saj širitev seznama že za leto 2024 omogoča uredba EU, ki je </w:t>
      </w:r>
      <w:r>
        <w:rPr>
          <w:rFonts w:ascii="Tahoma" w:hAnsi="Tahoma" w:cs="Tahoma"/>
          <w:color w:val="auto"/>
          <w:lang w:eastAsia="sl-SI"/>
        </w:rPr>
        <w:t>uradno</w:t>
      </w:r>
      <w:r w:rsidRPr="00FF061C">
        <w:rPr>
          <w:rFonts w:ascii="Tahoma" w:hAnsi="Tahoma" w:cs="Tahoma"/>
          <w:color w:val="auto"/>
          <w:lang w:eastAsia="sl-SI"/>
        </w:rPr>
        <w:t xml:space="preserve"> še v postopku sprejemanja in bo veljala retroaktivno ter državam članicam omogoča uporabo nekaterih sprememb pred uskladitvijo z Evropsko komisijo</w:t>
      </w:r>
      <w:r>
        <w:rPr>
          <w:rFonts w:ascii="Tahoma" w:hAnsi="Tahoma" w:cs="Tahoma"/>
          <w:color w:val="auto"/>
          <w:lang w:eastAsia="sl-SI"/>
        </w:rPr>
        <w:t>.</w:t>
      </w:r>
      <w:bookmarkStart w:id="0" w:name="_GoBack"/>
      <w:bookmarkEnd w:id="0"/>
    </w:p>
    <w:sectPr w:rsidR="005A7C56" w:rsidRPr="00FF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0C"/>
    <w:rsid w:val="005A7C56"/>
    <w:rsid w:val="00AF5B0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6231"/>
  <w15:chartTrackingRefBased/>
  <w15:docId w15:val="{74EBD2D1-B938-445F-A471-4CE8099B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5B0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qFormat/>
    <w:rsid w:val="00AF5B0C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Default">
    <w:name w:val="Default"/>
    <w:rsid w:val="00AF5B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Peklaj</dc:creator>
  <cp:keywords/>
  <dc:description/>
  <cp:lastModifiedBy>Robert Peklaj</cp:lastModifiedBy>
  <cp:revision>2</cp:revision>
  <dcterms:created xsi:type="dcterms:W3CDTF">2024-04-09T07:12:00Z</dcterms:created>
  <dcterms:modified xsi:type="dcterms:W3CDTF">2024-04-09T07:12:00Z</dcterms:modified>
</cp:coreProperties>
</file>